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9ABC" w14:textId="77777777" w:rsidR="00D55689" w:rsidRPr="00D55689" w:rsidRDefault="00D55689" w:rsidP="00D55689">
      <w:pPr>
        <w:widowControl/>
        <w:pBdr>
          <w:bottom w:val="single" w:sz="18" w:space="15" w:color="E9E9E9"/>
        </w:pBdr>
        <w:spacing w:after="450"/>
        <w:jc w:val="left"/>
        <w:outlineLvl w:val="1"/>
        <w:rPr>
          <w:rFonts w:asciiTheme="majorEastAsia" w:eastAsiaTheme="majorEastAsia" w:hAnsiTheme="majorEastAsia" w:cs="ＭＳ Ｐゴシック"/>
          <w:b/>
          <w:bCs/>
          <w:color w:val="293337"/>
          <w:kern w:val="0"/>
          <w:sz w:val="20"/>
          <w:szCs w:val="20"/>
        </w:rPr>
      </w:pPr>
      <w:r w:rsidRPr="00D55689">
        <w:rPr>
          <w:rFonts w:asciiTheme="majorEastAsia" w:eastAsiaTheme="majorEastAsia" w:hAnsiTheme="majorEastAsia" w:cs="ＭＳ Ｐゴシック"/>
          <w:b/>
          <w:bCs/>
          <w:color w:val="293337"/>
          <w:kern w:val="0"/>
          <w:sz w:val="20"/>
          <w:szCs w:val="20"/>
        </w:rPr>
        <w:t>1. 提携仲介契約・FA契約締結にあたっての確認事項</w:t>
      </w:r>
    </w:p>
    <w:p w14:paraId="718405D8" w14:textId="77777777" w:rsidR="00D55689" w:rsidRPr="00D55689" w:rsidRDefault="00D55689" w:rsidP="00D55689">
      <w:pPr>
        <w:widowControl/>
        <w:spacing w:before="375" w:line="480" w:lineRule="auto"/>
        <w:jc w:val="left"/>
        <w:rPr>
          <w:rFonts w:asciiTheme="majorEastAsia" w:eastAsiaTheme="majorEastAsia" w:hAnsiTheme="majorEastAsia" w:cs="ＭＳ Ｐゴシック"/>
          <w:color w:val="45494B"/>
          <w:kern w:val="0"/>
          <w:sz w:val="20"/>
          <w:szCs w:val="20"/>
        </w:rPr>
      </w:pPr>
      <w:r w:rsidRPr="00D55689">
        <w:rPr>
          <w:rFonts w:asciiTheme="majorEastAsia" w:eastAsiaTheme="majorEastAsia" w:hAnsiTheme="majorEastAsia" w:cs="ＭＳ Ｐゴシック"/>
          <w:color w:val="45494B"/>
          <w:kern w:val="0"/>
          <w:sz w:val="20"/>
          <w:szCs w:val="20"/>
        </w:rPr>
        <w:t>当社は、業務形態の実態に合致した契約を締結し、契約締結前に特に下記の事項について説明を行います。さらにご説明が必要な場合には、担当者にお申し付けの上、契約締結までにご確認をお願いいたします。</w:t>
      </w:r>
    </w:p>
    <w:p w14:paraId="70E130B8" w14:textId="77777777" w:rsidR="00D55689" w:rsidRPr="00D55689" w:rsidRDefault="00D55689" w:rsidP="00D55689">
      <w:pPr>
        <w:widowControl/>
        <w:spacing w:before="450" w:line="480" w:lineRule="auto"/>
        <w:jc w:val="left"/>
        <w:rPr>
          <w:rFonts w:asciiTheme="majorEastAsia" w:eastAsiaTheme="majorEastAsia" w:hAnsiTheme="majorEastAsia" w:cs="ＭＳ Ｐゴシック"/>
          <w:color w:val="45494B"/>
          <w:kern w:val="0"/>
          <w:sz w:val="20"/>
          <w:szCs w:val="20"/>
        </w:rPr>
      </w:pPr>
      <w:r w:rsidRPr="00D55689">
        <w:rPr>
          <w:rFonts w:asciiTheme="majorEastAsia" w:eastAsiaTheme="majorEastAsia" w:hAnsiTheme="majorEastAsia" w:cs="ＭＳ Ｐゴシック"/>
          <w:color w:val="45494B"/>
          <w:kern w:val="0"/>
          <w:sz w:val="20"/>
          <w:szCs w:val="20"/>
        </w:rPr>
        <w:t>(1) 仲介者（譲り渡し側・譲り受け側の両当事者と契約を締結し双方に助言する）、FA（一方当事者のみと契約を締結し一方のみに助言する）の違いとそれぞれの特徴</w:t>
      </w:r>
    </w:p>
    <w:p w14:paraId="0A16E96D" w14:textId="77777777" w:rsidR="00D55689" w:rsidRPr="00D55689" w:rsidRDefault="00D55689" w:rsidP="00D55689">
      <w:pPr>
        <w:widowControl/>
        <w:spacing w:before="450" w:line="480" w:lineRule="auto"/>
        <w:jc w:val="left"/>
        <w:rPr>
          <w:rFonts w:asciiTheme="majorEastAsia" w:eastAsiaTheme="majorEastAsia" w:hAnsiTheme="majorEastAsia" w:cs="ＭＳ Ｐゴシック"/>
          <w:color w:val="45494B"/>
          <w:kern w:val="0"/>
          <w:sz w:val="20"/>
          <w:szCs w:val="20"/>
        </w:rPr>
      </w:pPr>
      <w:r w:rsidRPr="00D55689">
        <w:rPr>
          <w:rFonts w:asciiTheme="majorEastAsia" w:eastAsiaTheme="majorEastAsia" w:hAnsiTheme="majorEastAsia" w:cs="ＭＳ Ｐゴシック"/>
          <w:color w:val="45494B"/>
          <w:kern w:val="0"/>
          <w:sz w:val="20"/>
          <w:szCs w:val="20"/>
        </w:rPr>
        <w:t>(2) 提供する業務の範囲・内容</w:t>
      </w:r>
    </w:p>
    <w:p w14:paraId="2C05A156" w14:textId="77777777" w:rsidR="00D55689" w:rsidRPr="00D55689" w:rsidRDefault="00D55689" w:rsidP="00D55689">
      <w:pPr>
        <w:widowControl/>
        <w:spacing w:before="450" w:line="480" w:lineRule="auto"/>
        <w:jc w:val="left"/>
        <w:rPr>
          <w:rFonts w:asciiTheme="majorEastAsia" w:eastAsiaTheme="majorEastAsia" w:hAnsiTheme="majorEastAsia" w:cs="ＭＳ Ｐゴシック"/>
          <w:color w:val="45494B"/>
          <w:kern w:val="0"/>
          <w:sz w:val="20"/>
          <w:szCs w:val="20"/>
        </w:rPr>
      </w:pPr>
      <w:r w:rsidRPr="00D55689">
        <w:rPr>
          <w:rFonts w:asciiTheme="majorEastAsia" w:eastAsiaTheme="majorEastAsia" w:hAnsiTheme="majorEastAsia" w:cs="ＭＳ Ｐゴシック"/>
          <w:color w:val="45494B"/>
          <w:kern w:val="0"/>
          <w:sz w:val="20"/>
          <w:szCs w:val="20"/>
        </w:rPr>
        <w:t>(3) 手数料に関する事項（算定基準、金額、支払時期等）</w:t>
      </w:r>
    </w:p>
    <w:p w14:paraId="6F0B368F" w14:textId="77777777" w:rsidR="00D55689" w:rsidRPr="00D55689" w:rsidRDefault="00D55689" w:rsidP="00D55689">
      <w:pPr>
        <w:widowControl/>
        <w:spacing w:before="450" w:line="480" w:lineRule="auto"/>
        <w:jc w:val="left"/>
        <w:rPr>
          <w:rFonts w:asciiTheme="majorEastAsia" w:eastAsiaTheme="majorEastAsia" w:hAnsiTheme="majorEastAsia" w:cs="ＭＳ Ｐゴシック"/>
          <w:color w:val="45494B"/>
          <w:kern w:val="0"/>
          <w:sz w:val="20"/>
          <w:szCs w:val="20"/>
        </w:rPr>
      </w:pPr>
      <w:r w:rsidRPr="00D55689">
        <w:rPr>
          <w:rFonts w:asciiTheme="majorEastAsia" w:eastAsiaTheme="majorEastAsia" w:hAnsiTheme="majorEastAsia" w:cs="ＭＳ Ｐゴシック"/>
          <w:color w:val="45494B"/>
          <w:kern w:val="0"/>
          <w:sz w:val="20"/>
          <w:szCs w:val="20"/>
        </w:rPr>
        <w:t>(4) 秘密保持に関する事項</w:t>
      </w:r>
    </w:p>
    <w:p w14:paraId="1C38EF62" w14:textId="77777777" w:rsidR="00D55689" w:rsidRPr="00D55689" w:rsidRDefault="00D55689" w:rsidP="00D55689">
      <w:pPr>
        <w:widowControl/>
        <w:spacing w:line="480" w:lineRule="auto"/>
        <w:jc w:val="left"/>
        <w:rPr>
          <w:rFonts w:asciiTheme="majorEastAsia" w:eastAsiaTheme="majorEastAsia" w:hAnsiTheme="majorEastAsia" w:cs="ＭＳ Ｐゴシック"/>
          <w:color w:val="45494B"/>
          <w:kern w:val="0"/>
          <w:sz w:val="20"/>
          <w:szCs w:val="20"/>
        </w:rPr>
      </w:pPr>
      <w:r w:rsidRPr="00D55689">
        <w:rPr>
          <w:rFonts w:asciiTheme="majorEastAsia" w:eastAsiaTheme="majorEastAsia" w:hAnsiTheme="majorEastAsia" w:cs="ＭＳ Ｐゴシック"/>
          <w:color w:val="45494B"/>
          <w:kern w:val="0"/>
          <w:sz w:val="20"/>
          <w:szCs w:val="20"/>
        </w:rPr>
        <w:t>(5) 専任条項（セカンド・オピニオンの可否等）</w:t>
      </w:r>
      <w:r w:rsidRPr="00D55689">
        <w:rPr>
          <w:rFonts w:asciiTheme="majorEastAsia" w:eastAsiaTheme="majorEastAsia" w:hAnsiTheme="majorEastAsia" w:cs="ＭＳ Ｐゴシック"/>
          <w:color w:val="45494B"/>
          <w:kern w:val="0"/>
          <w:sz w:val="20"/>
          <w:szCs w:val="20"/>
        </w:rPr>
        <w:br/>
        <w:t>・依頼者が他の支援機関の意見を求めたい部分を仲介者・FAに対して明確にした上、これを妨げるべき合理的な理由がない場合には、依頼者に対し、他の支援機関に対してセカンド・オピニオンを求めることを許容します。ただし、相手方当事者に関する情報の開示を禁止したり、相談先を法令上又は契約上の秘密保持義務がある者や事業承継・引継ぎ支援センター等の公的機関に限定したりする等、情報管理に配慮します。</w:t>
      </w:r>
      <w:r w:rsidRPr="00D55689">
        <w:rPr>
          <w:rFonts w:asciiTheme="majorEastAsia" w:eastAsiaTheme="majorEastAsia" w:hAnsiTheme="majorEastAsia" w:cs="ＭＳ Ｐゴシック"/>
          <w:color w:val="45494B"/>
          <w:kern w:val="0"/>
          <w:sz w:val="20"/>
          <w:szCs w:val="20"/>
        </w:rPr>
        <w:br/>
        <w:t>・専任条項を設ける場合には、契約期間を最長でも６か月～１年以内を目安として定めます。</w:t>
      </w:r>
      <w:r w:rsidRPr="00D55689">
        <w:rPr>
          <w:rFonts w:asciiTheme="majorEastAsia" w:eastAsiaTheme="majorEastAsia" w:hAnsiTheme="majorEastAsia" w:cs="ＭＳ Ｐゴシック"/>
          <w:color w:val="45494B"/>
          <w:kern w:val="0"/>
          <w:sz w:val="20"/>
          <w:szCs w:val="20"/>
        </w:rPr>
        <w:br/>
        <w:t>・依頼者が任意の時点で提携仲介契約・FA契約を中途解約できることを明記する条項等(口頭での明言も含む。)も設けます。</w:t>
      </w:r>
    </w:p>
    <w:p w14:paraId="4F443793" w14:textId="77777777" w:rsidR="00D55689" w:rsidRPr="00D55689" w:rsidRDefault="00D55689" w:rsidP="00D55689">
      <w:pPr>
        <w:widowControl/>
        <w:spacing w:line="480" w:lineRule="auto"/>
        <w:jc w:val="left"/>
        <w:rPr>
          <w:rFonts w:asciiTheme="majorEastAsia" w:eastAsiaTheme="majorEastAsia" w:hAnsiTheme="majorEastAsia" w:cs="ＭＳ Ｐゴシック"/>
          <w:color w:val="45494B"/>
          <w:kern w:val="0"/>
          <w:sz w:val="20"/>
          <w:szCs w:val="20"/>
        </w:rPr>
      </w:pPr>
      <w:r w:rsidRPr="00D55689">
        <w:rPr>
          <w:rFonts w:asciiTheme="majorEastAsia" w:eastAsiaTheme="majorEastAsia" w:hAnsiTheme="majorEastAsia" w:cs="ＭＳ Ｐゴシック"/>
          <w:color w:val="45494B"/>
          <w:kern w:val="0"/>
          <w:sz w:val="20"/>
          <w:szCs w:val="20"/>
        </w:rPr>
        <w:lastRenderedPageBreak/>
        <w:t>(6) テール条項（契約終了後も、一定の条件下において手数料を取得する条項）</w:t>
      </w:r>
      <w:r w:rsidRPr="00D55689">
        <w:rPr>
          <w:rFonts w:asciiTheme="majorEastAsia" w:eastAsiaTheme="majorEastAsia" w:hAnsiTheme="majorEastAsia" w:cs="ＭＳ Ｐゴシック"/>
          <w:color w:val="45494B"/>
          <w:kern w:val="0"/>
          <w:sz w:val="20"/>
          <w:szCs w:val="20"/>
        </w:rPr>
        <w:br/>
        <w:t>・テール期間は最長でも2年～3年以内を目安とします。</w:t>
      </w:r>
      <w:r w:rsidRPr="00D55689">
        <w:rPr>
          <w:rFonts w:asciiTheme="majorEastAsia" w:eastAsiaTheme="majorEastAsia" w:hAnsiTheme="majorEastAsia" w:cs="ＭＳ Ｐゴシック"/>
          <w:color w:val="45494B"/>
          <w:kern w:val="0"/>
          <w:sz w:val="20"/>
          <w:szCs w:val="20"/>
        </w:rPr>
        <w:br/>
        <w:t>・テール条項の対象は、あくまで当社が関与・接触し、譲り渡し側に対して紹介した譲り受け側のみに限定します。</w:t>
      </w:r>
    </w:p>
    <w:p w14:paraId="0714EC5B" w14:textId="77777777" w:rsidR="00D55689" w:rsidRPr="00D55689" w:rsidRDefault="00D55689" w:rsidP="00D55689">
      <w:pPr>
        <w:widowControl/>
        <w:spacing w:before="450" w:line="480" w:lineRule="auto"/>
        <w:jc w:val="left"/>
        <w:rPr>
          <w:rFonts w:asciiTheme="majorEastAsia" w:eastAsiaTheme="majorEastAsia" w:hAnsiTheme="majorEastAsia" w:cs="ＭＳ Ｐゴシック"/>
          <w:color w:val="45494B"/>
          <w:kern w:val="0"/>
          <w:sz w:val="20"/>
          <w:szCs w:val="20"/>
        </w:rPr>
      </w:pPr>
      <w:r w:rsidRPr="00D55689">
        <w:rPr>
          <w:rFonts w:asciiTheme="majorEastAsia" w:eastAsiaTheme="majorEastAsia" w:hAnsiTheme="majorEastAsia" w:cs="ＭＳ Ｐゴシック"/>
          <w:color w:val="45494B"/>
          <w:kern w:val="0"/>
          <w:sz w:val="20"/>
          <w:szCs w:val="20"/>
        </w:rPr>
        <w:t>(7) 契約期間</w:t>
      </w:r>
    </w:p>
    <w:p w14:paraId="48BC0C64" w14:textId="77777777" w:rsidR="00D55689" w:rsidRDefault="00D55689" w:rsidP="00D55689">
      <w:pPr>
        <w:widowControl/>
        <w:spacing w:before="450" w:line="480" w:lineRule="auto"/>
        <w:jc w:val="left"/>
        <w:rPr>
          <w:rFonts w:asciiTheme="majorEastAsia" w:eastAsiaTheme="majorEastAsia" w:hAnsiTheme="majorEastAsia" w:cs="ＭＳ Ｐゴシック"/>
          <w:color w:val="45494B"/>
          <w:kern w:val="0"/>
          <w:sz w:val="20"/>
          <w:szCs w:val="20"/>
        </w:rPr>
      </w:pPr>
      <w:r w:rsidRPr="00D55689">
        <w:rPr>
          <w:rFonts w:asciiTheme="majorEastAsia" w:eastAsiaTheme="majorEastAsia" w:hAnsiTheme="majorEastAsia" w:cs="ＭＳ Ｐゴシック"/>
          <w:color w:val="45494B"/>
          <w:kern w:val="0"/>
          <w:sz w:val="20"/>
          <w:szCs w:val="20"/>
        </w:rPr>
        <w:t>(8) 依頼者が、提携仲介契約・FA契約を中途解約できることを明記する場合には、当該中途解約に関する事項</w:t>
      </w:r>
    </w:p>
    <w:p w14:paraId="10CB96E6" w14:textId="77777777" w:rsidR="00D55689" w:rsidRPr="00D55689" w:rsidRDefault="00D55689" w:rsidP="00D55689">
      <w:pPr>
        <w:widowControl/>
        <w:spacing w:before="450" w:line="480" w:lineRule="auto"/>
        <w:jc w:val="left"/>
        <w:rPr>
          <w:rFonts w:asciiTheme="majorEastAsia" w:eastAsiaTheme="majorEastAsia" w:hAnsiTheme="majorEastAsia" w:cs="ＭＳ Ｐゴシック" w:hint="eastAsia"/>
          <w:color w:val="45494B"/>
          <w:kern w:val="0"/>
          <w:sz w:val="20"/>
          <w:szCs w:val="20"/>
        </w:rPr>
      </w:pPr>
    </w:p>
    <w:p w14:paraId="4C8A47F1" w14:textId="2C00DFFC" w:rsidR="00D55689" w:rsidRPr="00D55689" w:rsidRDefault="00D55689" w:rsidP="00D55689">
      <w:pPr>
        <w:widowControl/>
        <w:pBdr>
          <w:bottom w:val="single" w:sz="18" w:space="15" w:color="E9E9E9"/>
        </w:pBdr>
        <w:spacing w:after="450"/>
        <w:jc w:val="left"/>
        <w:outlineLvl w:val="1"/>
        <w:rPr>
          <w:rFonts w:asciiTheme="majorEastAsia" w:eastAsiaTheme="majorEastAsia" w:hAnsiTheme="majorEastAsia" w:cs="ＭＳ Ｐゴシック"/>
          <w:b/>
          <w:bCs/>
          <w:color w:val="293337"/>
          <w:kern w:val="0"/>
          <w:sz w:val="20"/>
          <w:szCs w:val="20"/>
        </w:rPr>
      </w:pPr>
      <w:r>
        <w:rPr>
          <w:rFonts w:asciiTheme="majorEastAsia" w:eastAsiaTheme="majorEastAsia" w:hAnsiTheme="majorEastAsia" w:cs="ＭＳ Ｐゴシック" w:hint="eastAsia"/>
          <w:b/>
          <w:bCs/>
          <w:color w:val="293337"/>
          <w:kern w:val="0"/>
          <w:sz w:val="20"/>
          <w:szCs w:val="20"/>
        </w:rPr>
        <w:t>2</w:t>
      </w:r>
      <w:r w:rsidRPr="00D55689">
        <w:rPr>
          <w:rFonts w:asciiTheme="majorEastAsia" w:eastAsiaTheme="majorEastAsia" w:hAnsiTheme="majorEastAsia" w:cs="ＭＳ Ｐゴシック"/>
          <w:b/>
          <w:bCs/>
          <w:color w:val="293337"/>
          <w:kern w:val="0"/>
          <w:sz w:val="20"/>
          <w:szCs w:val="20"/>
        </w:rPr>
        <w:t>. 最終契約・クロージングにあたっての確認事項</w:t>
      </w:r>
    </w:p>
    <w:p w14:paraId="6FF6D98A" w14:textId="77777777" w:rsidR="00D55689" w:rsidRPr="00D55689" w:rsidRDefault="00D55689" w:rsidP="00D55689">
      <w:pPr>
        <w:widowControl/>
        <w:spacing w:before="375" w:line="480" w:lineRule="auto"/>
        <w:jc w:val="left"/>
        <w:rPr>
          <w:rFonts w:asciiTheme="majorEastAsia" w:eastAsiaTheme="majorEastAsia" w:hAnsiTheme="majorEastAsia" w:cs="ＭＳ Ｐゴシック"/>
          <w:color w:val="45494B"/>
          <w:kern w:val="0"/>
          <w:sz w:val="20"/>
          <w:szCs w:val="20"/>
        </w:rPr>
      </w:pPr>
      <w:r w:rsidRPr="00D55689">
        <w:rPr>
          <w:rFonts w:asciiTheme="majorEastAsia" w:eastAsiaTheme="majorEastAsia" w:hAnsiTheme="majorEastAsia" w:cs="ＭＳ Ｐゴシック"/>
          <w:color w:val="45494B"/>
          <w:kern w:val="0"/>
          <w:sz w:val="20"/>
          <w:szCs w:val="20"/>
        </w:rPr>
        <w:t>当社は、最終契約の締結について、契約内容に漏れがないよう依頼者に対して再度の確認を促します。また、クロージングに向けた具体的な段取りを整えた上で、当日には譲り受け側から譲渡対価が確実に入金されたことを確認します。</w:t>
      </w:r>
    </w:p>
    <w:p w14:paraId="075DB27D" w14:textId="10F42CCB" w:rsidR="00923110" w:rsidRPr="00D55689" w:rsidRDefault="00D55689" w:rsidP="00D55689">
      <w:pPr>
        <w:widowControl/>
        <w:spacing w:line="480" w:lineRule="auto"/>
        <w:jc w:val="left"/>
        <w:rPr>
          <w:rFonts w:asciiTheme="majorEastAsia" w:eastAsiaTheme="majorEastAsia" w:hAnsiTheme="majorEastAsia" w:cs="ＭＳ Ｐゴシック" w:hint="eastAsia"/>
          <w:color w:val="45494B"/>
          <w:kern w:val="0"/>
          <w:sz w:val="20"/>
          <w:szCs w:val="20"/>
        </w:rPr>
      </w:pPr>
      <w:r w:rsidRPr="00D55689">
        <w:rPr>
          <w:rFonts w:asciiTheme="majorEastAsia" w:eastAsiaTheme="majorEastAsia" w:hAnsiTheme="majorEastAsia" w:cs="ＭＳ Ｐゴシック"/>
          <w:color w:val="45494B"/>
          <w:kern w:val="0"/>
          <w:sz w:val="20"/>
          <w:szCs w:val="20"/>
        </w:rPr>
        <w:t>上記の他、当社は、中小M&amp;Aガイドラインの趣旨に則った行動をいたします。</w:t>
      </w:r>
    </w:p>
    <w:sectPr w:rsidR="00923110" w:rsidRPr="00D55689" w:rsidSect="00D5568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A409E"/>
    <w:multiLevelType w:val="multilevel"/>
    <w:tmpl w:val="4F22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7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89"/>
    <w:rsid w:val="00923110"/>
    <w:rsid w:val="00D55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80BBC5"/>
  <w15:chartTrackingRefBased/>
  <w15:docId w15:val="{A8FC1793-BB9E-4D56-AA70-F327212E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5568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55689"/>
    <w:rPr>
      <w:rFonts w:ascii="ＭＳ Ｐゴシック" w:eastAsia="ＭＳ Ｐゴシック" w:hAnsi="ＭＳ Ｐゴシック" w:cs="ＭＳ Ｐゴシック"/>
      <w:b/>
      <w:bCs/>
      <w:kern w:val="0"/>
      <w:sz w:val="36"/>
      <w:szCs w:val="36"/>
    </w:rPr>
  </w:style>
  <w:style w:type="paragraph" w:customStyle="1" w:styleId="h02-001-01">
    <w:name w:val="h02-001-01"/>
    <w:basedOn w:val="a"/>
    <w:rsid w:val="00D556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03-001-05-item">
    <w:name w:val="h03-001-05-item"/>
    <w:basedOn w:val="a"/>
    <w:rsid w:val="00D556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02-001-03">
    <w:name w:val="h02-001-03"/>
    <w:basedOn w:val="a0"/>
    <w:rsid w:val="00D55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84524">
      <w:bodyDiv w:val="1"/>
      <w:marLeft w:val="0"/>
      <w:marRight w:val="0"/>
      <w:marTop w:val="0"/>
      <w:marBottom w:val="0"/>
      <w:divBdr>
        <w:top w:val="none" w:sz="0" w:space="0" w:color="auto"/>
        <w:left w:val="none" w:sz="0" w:space="0" w:color="auto"/>
        <w:bottom w:val="none" w:sz="0" w:space="0" w:color="auto"/>
        <w:right w:val="none" w:sz="0" w:space="0" w:color="auto"/>
      </w:divBdr>
      <w:divsChild>
        <w:div w:id="1883248799">
          <w:marLeft w:val="0"/>
          <w:marRight w:val="0"/>
          <w:marTop w:val="0"/>
          <w:marBottom w:val="0"/>
          <w:divBdr>
            <w:top w:val="none" w:sz="0" w:space="0" w:color="auto"/>
            <w:left w:val="none" w:sz="0" w:space="0" w:color="auto"/>
            <w:bottom w:val="none" w:sz="0" w:space="0" w:color="auto"/>
            <w:right w:val="none" w:sz="0" w:space="0" w:color="auto"/>
          </w:divBdr>
        </w:div>
        <w:div w:id="447547151">
          <w:marLeft w:val="0"/>
          <w:marRight w:val="0"/>
          <w:marTop w:val="0"/>
          <w:marBottom w:val="0"/>
          <w:divBdr>
            <w:top w:val="none" w:sz="0" w:space="0" w:color="auto"/>
            <w:left w:val="none" w:sz="0" w:space="0" w:color="auto"/>
            <w:bottom w:val="none" w:sz="0" w:space="0" w:color="auto"/>
            <w:right w:val="none" w:sz="0" w:space="0" w:color="auto"/>
          </w:divBdr>
        </w:div>
        <w:div w:id="34473717">
          <w:marLeft w:val="0"/>
          <w:marRight w:val="0"/>
          <w:marTop w:val="0"/>
          <w:marBottom w:val="0"/>
          <w:divBdr>
            <w:top w:val="none" w:sz="0" w:space="0" w:color="auto"/>
            <w:left w:val="none" w:sz="0" w:space="0" w:color="auto"/>
            <w:bottom w:val="none" w:sz="0" w:space="0" w:color="auto"/>
            <w:right w:val="none" w:sz="0" w:space="0" w:color="auto"/>
          </w:divBdr>
        </w:div>
        <w:div w:id="2119520607">
          <w:marLeft w:val="0"/>
          <w:marRight w:val="0"/>
          <w:marTop w:val="0"/>
          <w:marBottom w:val="0"/>
          <w:divBdr>
            <w:top w:val="none" w:sz="0" w:space="0" w:color="auto"/>
            <w:left w:val="none" w:sz="0" w:space="0" w:color="auto"/>
            <w:bottom w:val="none" w:sz="0" w:space="0" w:color="auto"/>
            <w:right w:val="none" w:sz="0" w:space="0" w:color="auto"/>
          </w:divBdr>
        </w:div>
        <w:div w:id="134474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深野 章</dc:creator>
  <cp:keywords/>
  <dc:description/>
  <cp:lastModifiedBy>深野 章</cp:lastModifiedBy>
  <cp:revision>1</cp:revision>
  <cp:lastPrinted>2023-06-23T02:15:00Z</cp:lastPrinted>
  <dcterms:created xsi:type="dcterms:W3CDTF">2023-06-23T02:09:00Z</dcterms:created>
  <dcterms:modified xsi:type="dcterms:W3CDTF">2023-06-23T02:17:00Z</dcterms:modified>
</cp:coreProperties>
</file>